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Grant Recognition Requirements</w:t>
        <w:br w:type="textWrapping"/>
        <w:t xml:space="preserve">2022-2023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Grassroot Grant Recognition Requirements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North Carolina Arts Council Grassroot grantees must acknowledge support for their event or projects by the North Carolina Arts Council and the Cabarrus Arts Council. </w:t>
        <w:br w:type="textWrapping"/>
        <w:br w:type="textWrapping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Grant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recipients are required to prominently display the appropriate credit line and logos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both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on-site at funded event(s) and in all digital and printed publicity materials: 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Credit Line: </w:t>
        <w:br w:type="textWrapping"/>
        <w:br w:type="textWrapping"/>
        <w:t xml:space="preserve">Grassroots Grants recipients only: </w:t>
      </w:r>
      <w:r w:rsidDel="00000000" w:rsidR="00000000" w:rsidRPr="00000000">
        <w:rPr>
          <w:i w:val="1"/>
          <w:sz w:val="24"/>
          <w:szCs w:val="24"/>
          <w:rtl w:val="0"/>
        </w:rPr>
        <w:t xml:space="preserve">This program is supported by the Cabarrus Arts Council and the North Carolina Arts Council, a division of the Department of Natural and Cultural Resources.” </w:t>
        <w:br w:type="textWrapping"/>
        <w:br w:type="textWrapping"/>
        <w:t xml:space="preserve">Grassroots and </w:t>
      </w:r>
      <w:r w:rsidDel="00000000" w:rsidR="00000000" w:rsidRPr="00000000">
        <w:rPr>
          <w:sz w:val="24"/>
          <w:szCs w:val="24"/>
          <w:rtl w:val="0"/>
        </w:rPr>
        <w:t xml:space="preserve">ARPA or ARPA only recipients: </w:t>
      </w:r>
      <w:r w:rsidDel="00000000" w:rsidR="00000000" w:rsidRPr="00000000">
        <w:rPr>
          <w:i w:val="1"/>
          <w:sz w:val="24"/>
          <w:szCs w:val="24"/>
          <w:rtl w:val="0"/>
        </w:rPr>
        <w:t xml:space="preserve">This program is supported by the Cabarrus Arts Council and the North Carolina Arts Council, a division of the Department of Natural and Cultural Resources,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with funding from the National Endowment for the Arts.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i w:val="1"/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The North Carolina Arts Council logo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920" w:lineRule="auto"/>
        <w:ind w:left="720" w:hanging="360"/>
        <w:rPr>
          <w:i w:val="1"/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The Cabarrus Arts Council logo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</w:rPr>
        <w:drawing>
          <wp:inline distB="114300" distT="114300" distL="114300" distR="114300">
            <wp:extent cx="652463" cy="6524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652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Please do not alter the logos’ colors or dimensions.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447675</wp:posOffset>
            </wp:positionH>
            <wp:positionV relativeFrom="paragraph">
              <wp:posOffset>285750</wp:posOffset>
            </wp:positionV>
            <wp:extent cx="661988" cy="661988"/>
            <wp:effectExtent b="0" l="0" r="0" t="0"/>
            <wp:wrapTopAndBottom distB="114300" distT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661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hd w:fill="ffffff" w:val="clear"/>
        <w:spacing w:after="920" w:lineRule="auto"/>
        <w:ind w:left="0" w:firstLine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In addition, we encourage you to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place the credit line and logos on your website, use it in your print and electronic newsletters, and on as many materials as possible. </w:t>
        <w:br w:type="textWrapping"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www.dropbox.com/sh/7g4hievbff51his/AAD-WF5dlf3nqrwu9ZZ-9EO7a?dl=0" TargetMode="External"/><Relationship Id="rId7" Type="http://schemas.openxmlformats.org/officeDocument/2006/relationships/hyperlink" Target="https://www.dropbox.com/home/Cabarrus%20Arts%20Council%20Logos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